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附件：</w:t>
      </w:r>
    </w:p>
    <w:p>
      <w:pPr>
        <w:adjustRightInd w:val="0"/>
        <w:snapToGrid w:val="0"/>
        <w:spacing w:after="156" w:afterLines="50"/>
        <w:jc w:val="center"/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20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～20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2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学年第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一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学期初公共基础课补考时间安排表</w:t>
      </w:r>
      <w:bookmarkEnd w:id="0"/>
    </w:p>
    <w:tbl>
      <w:tblPr>
        <w:tblStyle w:val="2"/>
        <w:tblW w:w="88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19"/>
        <w:gridCol w:w="416"/>
        <w:gridCol w:w="1204"/>
        <w:gridCol w:w="2880"/>
        <w:gridCol w:w="133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8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程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开课学院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午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大学英语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（2）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午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大学英语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9月11日上午</w:t>
            </w: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9月11日上午</w:t>
            </w: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2019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概率论与数理统计I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9月11日上午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大学物理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9月11日下午</w:t>
            </w: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2019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毛泽东思想和中国特色社会主义理论体系概论（1）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9月11日下午</w:t>
            </w: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中国近现代史纲要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pacing w:before="312" w:beforeLines="100"/>
        <w:ind w:firstLine="477" w:firstLineChars="199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说明：期初补考每天最多安排5场次，具体时间为第1场次8:15～10:15； 第2场次10:35～12:35；第3场次13:30～15:30；第4场次15:50～17:50；第5场次18:40～20:40。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16D00"/>
    <w:rsid w:val="1CF1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2021-06-01T06:40:00Z</dcterms:created>
  <dc:creator>李晓可(19821349)</dc:creator>
  <cp:lastModifiedBy>李晓可(19821349)</cp:lastModifiedBy>
  <dcterms:modified xsi:type="dcterms:W3CDTF">2021-06-01T06:42:00Z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C17E6FDAD8D7444F9E17BD297144BA41</vt:lpwstr>
  </property>
</Properties>
</file>